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72"/>
          <w:lang w:val="en-US"/>
        </w:rPr>
        <w:t>SPARTA</w:t>
      </w:r>
    </w:p>
    <w:p>
      <w:pPr>
        <w:pStyle w:val="Normal"/>
        <w:jc w:val="center"/>
        <w:rPr/>
      </w:pPr>
      <w:r>
        <w:rPr>
          <w:lang w:val="en-US"/>
        </w:rPr>
        <w:t>Task T9.3 Work Plan for 2020</w:t>
      </w:r>
    </w:p>
    <w:p>
      <w:pPr>
        <w:pStyle w:val="Normal"/>
        <w:rPr/>
      </w:pPr>
      <w:r>
        <w:rPr>
          <w:b/>
          <w:lang w:val="en-US"/>
        </w:rPr>
        <w:t>Task-specific WP9 information:</w:t>
      </w:r>
    </w:p>
    <w:p>
      <w:pPr>
        <w:pStyle w:val="Normal"/>
        <w:rPr/>
      </w:pPr>
      <w:r>
        <w:rPr>
          <w:lang w:val="en-US"/>
        </w:rPr>
        <w:t>Any changes to data in the proposal: No</w:t>
      </w:r>
    </w:p>
    <w:p>
      <w:pPr>
        <w:pStyle w:val="Normal"/>
        <w:rPr/>
      </w:pPr>
      <w:r>
        <w:rPr>
          <w:lang w:val="en-US"/>
        </w:rPr>
        <w:t>Main contact for T9.3 WP9: Olivier Levillain &lt;olivier.levillain@telecom-sudparis.eu&gt;</w:t>
      </w:r>
    </w:p>
    <w:p>
      <w:pPr>
        <w:pStyle w:val="Normal"/>
        <w:rPr/>
      </w:pPr>
      <w:r>
        <w:rPr>
          <w:lang w:val="en-US"/>
        </w:rPr>
        <w:t xml:space="preserve">Partners involved in T9.3 WP9: </w:t>
      </w:r>
      <w:r>
        <w:rPr>
          <w:b w:val="false"/>
          <w:bCs w:val="false"/>
          <w:sz w:val="24"/>
          <w:szCs w:val="24"/>
          <w:lang w:val="en-US"/>
        </w:rPr>
        <w:t xml:space="preserve">SAP, </w:t>
      </w:r>
      <w:r>
        <w:rPr>
          <w:b/>
          <w:bCs w:val="false"/>
          <w:sz w:val="24"/>
          <w:szCs w:val="24"/>
          <w:lang w:val="en-US"/>
        </w:rPr>
        <w:t>IMT (task leader)</w:t>
      </w:r>
      <w:r>
        <w:rPr>
          <w:b w:val="false"/>
          <w:bCs w:val="false"/>
          <w:sz w:val="24"/>
          <w:szCs w:val="24"/>
          <w:lang w:val="en-US"/>
        </w:rPr>
        <w:t xml:space="preserve">, PPBW, SMILE, L3CE 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Task 9.3 duration: M06 to M30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rPr>
          <w:i/>
          <w:i/>
          <w:highlight w:val="yellow"/>
          <w:lang w:val="en-US"/>
        </w:rPr>
      </w:pPr>
      <w:r>
        <w:rPr>
          <w:b/>
          <w:lang w:val="en-US"/>
        </w:rPr>
        <w:t>Plan for 2019 (please list all planned activities):</w:t>
      </w:r>
    </w:p>
    <w:tbl>
      <w:tblPr>
        <w:tblW w:w="8790" w:type="dxa"/>
        <w:jc w:val="left"/>
        <w:tblInd w:w="201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8"/>
        <w:gridCol w:w="3070"/>
        <w:gridCol w:w="3111"/>
        <w:gridCol w:w="1480"/>
      </w:tblGrid>
      <w:tr>
        <w:trPr>
          <w:trHeight w:val="320" w:hRule="atLeast"/>
        </w:trPr>
        <w:tc>
          <w:tcPr>
            <w:tcW w:w="112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Quarter</w:t>
            </w:r>
          </w:p>
        </w:tc>
        <w:tc>
          <w:tcPr>
            <w:tcW w:w="307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Activity</w:t>
            </w:r>
          </w:p>
        </w:tc>
        <w:tc>
          <w:tcPr>
            <w:tcW w:w="311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Output</w:t>
            </w:r>
          </w:p>
        </w:tc>
        <w:tc>
          <w:tcPr>
            <w:tcW w:w="148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Partner Responsible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Contribution to D9.2 Structure Definition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D9.2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Calibri"/>
                <w:color w:val="000000"/>
                <w:lang w:val="en-US" w:eastAsia="cs-CZ"/>
              </w:rPr>
              <w:t>Overview of existing professional trainings – EU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describing the state of the art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IMT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Calibri"/>
                <w:color w:val="000000"/>
                <w:lang w:val="en-US" w:eastAsia="cs-CZ"/>
              </w:rPr>
              <w:t>Overview of existing professional trainings – USA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describing the state of the art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SAP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Calibri"/>
                <w:color w:val="000000"/>
                <w:lang w:val="en-US" w:eastAsia="cs-CZ"/>
              </w:rPr>
              <w:t>Overview of existing study programs – Japan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describing the state of the art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IMT, SMILE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Overview of existing certifications and recognition systems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Report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lang w:val="en-US"/>
              </w:rPr>
              <w:t>describing the state of the art</w:t>
            </w:r>
          </w:p>
          <w:p>
            <w:pPr>
              <w:pStyle w:val="Normal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000000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lang w:val="en-US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IMT, SAP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 xml:space="preserve">Review and </w:t>
            </w:r>
          </w:p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contributions to D9.2 chapters regarding T9.2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Contributions to chapters in D9.2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Q1-Q2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Identification of important and/or under-developed domains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lang w:val="en-US"/>
              </w:rPr>
              <w:t xml:space="preserve"> listing the relevant domains to investigate (course name and broad outline, skills to develop, envisionned activities)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SAP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Q1-Q2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>Identification of a relevant certification and/or recognition system for our courses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Report </w:t>
            </w:r>
            <w:r>
              <w:rPr>
                <w:b w:val="false"/>
                <w:bCs w:val="false"/>
              </w:rPr>
              <w:t>comparing the existing schemes and justifying the chosen one (or proposal of a new scheme)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PPBW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Q1-Q2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 xml:space="preserve">Development of a syllabus </w:t>
            </w:r>
            <w:bookmarkStart w:id="0" w:name="__DdeLink__1110_1146541745"/>
            <w:r>
              <w:rPr/>
              <w:t>on „sec-dev-ops“</w:t>
            </w:r>
            <w:bookmarkEnd w:id="0"/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</w:rPr>
              <w:t>Syllabus</w:t>
            </w:r>
            <w:r>
              <w:rPr>
                <w:b w:val="false"/>
                <w:bCs w:val="false"/>
              </w:rPr>
              <w:t xml:space="preserve"> describing a professional training in an important and/or under-developed domains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Q1 – Q2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Professional Curricula Creation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IMT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Calibri"/>
                <w:color w:val="000000"/>
                <w:lang w:val="en-US" w:eastAsia="cs-CZ"/>
              </w:rPr>
              <w:t>06/2020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Calibri"/>
                <w:color w:val="000000"/>
                <w:lang w:val="en-US" w:eastAsia="cs-CZ"/>
              </w:rPr>
              <w:t>Contribution to D 9.2 Consolidation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Contributions to chapters in D9.2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IMT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Q3-Q4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>Production of pedagogical resources on „sec-dev-ops“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</w:rPr>
              <w:t xml:space="preserve">Pedagogical resources </w:t>
            </w:r>
            <w:r>
              <w:rPr>
                <w:b w:val="false"/>
                <w:bCs w:val="false"/>
              </w:rPr>
              <w:t>instanciating one of the previous syllabus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Q4 2020-Q2 2021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Experimentations and evaluation of produced courses on „sec-dev-ops“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lang w:val="en-US"/>
              </w:rPr>
              <w:t xml:space="preserve"> on the experimentations run and on their evaluation (by consortium partners and by students)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Q2-Q3</w:t>
            </w:r>
          </w:p>
        </w:tc>
        <w:tc>
          <w:tcPr>
            <w:tcW w:w="307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>Development of a syllabus for one a second subject (cyberranges or industrial systems)</w:t>
            </w:r>
          </w:p>
        </w:tc>
        <w:tc>
          <w:tcPr>
            <w:tcW w:w="311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</w:rPr>
              <w:t>Syllabus</w:t>
            </w:r>
            <w:r>
              <w:rPr>
                <w:b w:val="false"/>
                <w:bCs w:val="false"/>
              </w:rPr>
              <w:t xml:space="preserve"> describing a professional training in an important and/or under-developed domains</w:t>
            </w:r>
          </w:p>
        </w:tc>
        <w:tc>
          <w:tcPr>
            <w:tcW w:w="148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Q4 2020-Q1 2020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>Production of pedagogical resources on the second subject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</w:rPr>
              <w:t xml:space="preserve">Pedagogical resources </w:t>
            </w:r>
            <w:r>
              <w:rPr>
                <w:b w:val="false"/>
                <w:bCs w:val="false"/>
              </w:rPr>
              <w:t>instanciating one of the previous syllabus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Q4 2020-Q2 2021</w:t>
            </w:r>
          </w:p>
        </w:tc>
        <w:tc>
          <w:tcPr>
            <w:tcW w:w="307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Experimentations and evaluation of produced courses on the second subject</w:t>
            </w:r>
          </w:p>
        </w:tc>
        <w:tc>
          <w:tcPr>
            <w:tcW w:w="311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lang w:val="en-US"/>
              </w:rPr>
              <w:t xml:space="preserve"> on the experimentations run and on their evaluation (by consortium partners and by students)</w:t>
            </w:r>
          </w:p>
        </w:tc>
        <w:tc>
          <w:tcPr>
            <w:tcW w:w="14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</w:tbl>
    <w:p>
      <w:pPr>
        <w:pStyle w:val="Paragraph"/>
        <w:spacing w:beforeAutospacing="0" w:before="0" w:afterAutospacing="0" w:after="0"/>
        <w:textAlignment w:val="baseline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  <w:lang w:val="en-US"/>
        </w:rPr>
        <w:t>Risks:</w:t>
      </w:r>
    </w:p>
    <w:tbl>
      <w:tblPr>
        <w:tblW w:w="9072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536"/>
        <w:gridCol w:w="4535"/>
      </w:tblGrid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lang w:val="en-US"/>
              </w:rPr>
              <w:t>Risk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lang w:val="en-US"/>
              </w:rPr>
              <w:t>Mitigation strategy</w:t>
            </w:r>
          </w:p>
        </w:tc>
      </w:tr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>
                <w:lang w:val="en-US"/>
              </w:rPr>
              <w:t>Unavailability of information in English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>
                <w:lang w:val="en-US"/>
              </w:rPr>
              <w:t>Use of partner knowledge (best) – own network – machine translation (worst)</w:t>
            </w:r>
          </w:p>
        </w:tc>
      </w:tr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>
                <w:lang w:val="en-US"/>
              </w:rPr>
              <w:t>Insufficient coverage of the global ecosystem (regarding professional trainings)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>
                <w:lang w:val="en-US"/>
              </w:rPr>
              <w:t>The consortium is large enough to cover a significant propertion of the European offer. With our contacts, our view of USA and Japan should also be significant (though less precise than for UE)</w:t>
            </w:r>
          </w:p>
        </w:tc>
      </w:tr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Insufficient coverage of the global ecosystem regarding certification and recognition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Our goal is to either find relevant and well known schemes, or to build a new one</w:t>
            </w:r>
          </w:p>
        </w:tc>
      </w:tr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Different skill frameworks across trainings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T9.1 should help us get a more uniform view of the skills in cybersecurity</w:t>
            </w:r>
          </w:p>
        </w:tc>
      </w:tr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Inapplicability of existing schemes to certify our courses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There exists weaker models (recognition systems) such as France‘s SecNumedu-FC which most certainly will apply</w:t>
            </w:r>
          </w:p>
        </w:tc>
      </w:tr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The target number of trainings is very ambitious and might not be reached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The important goal is to produce a significant number of syllabus, and to have at least one or two of them run and evaluated during the project.</w:t>
            </w:r>
          </w:p>
        </w:tc>
      </w:tr>
    </w:tbl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  <w:t>KPIs:</w:t>
      </w:r>
    </w:p>
    <w:p>
      <w:pPr>
        <w:pStyle w:val="Normal"/>
        <w:rPr/>
      </w:pPr>
      <w:r>
        <w:rPr>
          <w:lang w:val="en-US"/>
        </w:rPr>
        <w:tab/>
      </w:r>
      <w:r>
        <w:rPr>
          <w:b/>
          <w:bCs/>
          <w:lang w:val="en-US"/>
        </w:rPr>
        <w:t>Description</w:t>
        <w:tab/>
        <w:tab/>
        <w:tab/>
        <w:tab/>
        <w:tab/>
        <w:t>Target</w:t>
      </w:r>
    </w:p>
    <w:p>
      <w:pPr>
        <w:pStyle w:val="Normal"/>
        <w:rPr/>
      </w:pPr>
      <w:r>
        <w:rPr>
          <w:lang w:val="en-US"/>
        </w:rPr>
        <w:tab/>
        <w:t># of professional training analyzed</w:t>
        <w:tab/>
        <w:tab/>
        <w:t>50</w:t>
      </w:r>
    </w:p>
    <w:p>
      <w:pPr>
        <w:pStyle w:val="Normal"/>
        <w:ind w:firstLine="708"/>
        <w:rPr/>
      </w:pPr>
      <w:bookmarkStart w:id="1" w:name="_gjdgxs"/>
      <w:bookmarkEnd w:id="1"/>
      <w:r>
        <w:rPr>
          <w:lang w:val="en-US"/>
        </w:rPr>
        <w:t># of schemes analyzed</w:t>
        <w:tab/>
        <w:tab/>
        <w:tab/>
        <w:t>20</w:t>
      </w:r>
    </w:p>
    <w:p>
      <w:pPr>
        <w:pStyle w:val="Normal"/>
        <w:ind w:firstLine="708"/>
        <w:rPr/>
      </w:pPr>
      <w:r>
        <w:rPr>
          <w:lang w:val="en-US"/>
        </w:rPr>
        <w:t># of produced syllabus</w:t>
        <w:tab/>
        <w:tab/>
        <w:tab/>
        <w:t>10</w:t>
      </w:r>
    </w:p>
    <w:p>
      <w:pPr>
        <w:pStyle w:val="Normal"/>
        <w:ind w:firstLine="708"/>
        <w:rPr/>
      </w:pPr>
      <w:r>
        <w:rPr>
          <w:lang w:val="en-US"/>
        </w:rPr>
        <w:t># of created professional trainings</w:t>
        <w:tab/>
        <w:tab/>
        <w:t>5</w:t>
      </w:r>
    </w:p>
    <w:p>
      <w:pPr>
        <w:pStyle w:val="Normal"/>
        <w:ind w:firstLine="708"/>
        <w:rPr/>
      </w:pPr>
      <w:r>
        <w:rPr>
          <w:lang w:val="en-US"/>
        </w:rPr>
        <w:t># of run and evaluated trainings</w:t>
        <w:tab/>
        <w:tab/>
        <w:t>3</w:t>
      </w:r>
    </w:p>
    <w:p>
      <w:pPr>
        <w:pStyle w:val="Normal"/>
        <w:ind w:firstLine="708"/>
        <w:rPr/>
      </w:pPr>
      <w:r>
        <w:rPr>
          <w:lang w:val="en-US"/>
        </w:rPr>
        <w:t># of certified trainings</w:t>
        <w:tab/>
        <w:tab/>
        <w:tab/>
        <w:t xml:space="preserve">? (this highly depend on the chosen </w:t>
        <w:tab/>
        <w:tab/>
        <w:tab/>
        <w:tab/>
        <w:tab/>
        <w:tab/>
        <w:tab/>
        <w:tab/>
        <w:t>scheme)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  <w:t>Dissemination strategy:</w:t>
      </w:r>
    </w:p>
    <w:p>
      <w:pPr>
        <w:pStyle w:val="Normal"/>
        <w:rPr/>
      </w:pPr>
      <w:r>
        <w:rPr>
          <w:lang w:val="en-US"/>
        </w:rPr>
        <w:t>Some elements of our reports should be published, in particular the state of the art regarding trainings and certification and recognition schemes.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lang w:val="en-US"/>
        </w:rPr>
        <w:t>Obviously, the produced syllabus and pedagogical resources should be published and shared with the community.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lang w:val="en-US"/>
        </w:rPr>
        <w:t>Finally, we will have several professional trainings certified.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mo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3d00a5"/>
    <w:rPr/>
  </w:style>
  <w:style w:type="character" w:styleId="Eop" w:customStyle="1">
    <w:name w:val="eop"/>
    <w:basedOn w:val="DefaultParagraphFont"/>
    <w:qFormat/>
    <w:rsid w:val="003d00a5"/>
    <w:rPr/>
  </w:style>
  <w:style w:type="character" w:styleId="Appleconvertedspace" w:customStyle="1">
    <w:name w:val="apple-converted-space"/>
    <w:basedOn w:val="DefaultParagraphFont"/>
    <w:qFormat/>
    <w:rsid w:val="003d00a5"/>
    <w:rPr/>
  </w:style>
  <w:style w:type="character" w:styleId="Spellingerror" w:customStyle="1">
    <w:name w:val="spellingerror"/>
    <w:basedOn w:val="DefaultParagraphFont"/>
    <w:qFormat/>
    <w:rsid w:val="003d00a5"/>
    <w:rPr/>
  </w:style>
  <w:style w:type="character" w:styleId="ListLabel19">
    <w:name w:val="ListLabel 19"/>
    <w:qFormat/>
    <w:rPr>
      <w:sz w:val="22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10">
    <w:name w:val="ListLabel 10"/>
    <w:qFormat/>
    <w:rPr>
      <w:sz w:val="22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">
    <w:name w:val="ListLabel 1"/>
    <w:qFormat/>
    <w:rPr>
      <w:sz w:val="22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28">
    <w:name w:val="ListLabel 28"/>
    <w:qFormat/>
    <w:rPr>
      <w:sz w:val="24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sz w:val="24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sz w:val="22"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sz w:val="24"/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sz w:val="24"/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u w:val="none"/>
    </w:rPr>
  </w:style>
  <w:style w:type="character" w:styleId="ListLabel73">
    <w:name w:val="ListLabel 73"/>
    <w:qFormat/>
    <w:rPr>
      <w:sz w:val="22"/>
      <w:u w:val="none"/>
    </w:rPr>
  </w:style>
  <w:style w:type="character" w:styleId="ListLabel74">
    <w:name w:val="ListLabel 74"/>
    <w:qFormat/>
    <w:rPr>
      <w:u w:val="none"/>
    </w:rPr>
  </w:style>
  <w:style w:type="character" w:styleId="ListLabel75">
    <w:name w:val="ListLabel 75"/>
    <w:qFormat/>
    <w:rPr>
      <w:u w:val="none"/>
    </w:rPr>
  </w:style>
  <w:style w:type="character" w:styleId="ListLabel76">
    <w:name w:val="ListLabel 76"/>
    <w:qFormat/>
    <w:rPr>
      <w:u w:val="none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character" w:styleId="ListLabel82">
    <w:name w:val="ListLabel 82"/>
    <w:qFormat/>
    <w:rPr>
      <w:sz w:val="24"/>
      <w:u w:val="none"/>
    </w:rPr>
  </w:style>
  <w:style w:type="character" w:styleId="ListLabel83">
    <w:name w:val="ListLabel 83"/>
    <w:qFormat/>
    <w:rPr>
      <w:u w:val="none"/>
    </w:rPr>
  </w:style>
  <w:style w:type="character" w:styleId="ListLabel84">
    <w:name w:val="ListLabel 84"/>
    <w:qFormat/>
    <w:rPr>
      <w:u w:val="none"/>
    </w:rPr>
  </w:style>
  <w:style w:type="character" w:styleId="ListLabel85">
    <w:name w:val="ListLabel 85"/>
    <w:qFormat/>
    <w:rPr>
      <w:u w:val="none"/>
    </w:rPr>
  </w:style>
  <w:style w:type="character" w:styleId="ListLabel86">
    <w:name w:val="ListLabel 86"/>
    <w:qFormat/>
    <w:rPr>
      <w:u w:val="none"/>
    </w:rPr>
  </w:style>
  <w:style w:type="character" w:styleId="ListLabel87">
    <w:name w:val="ListLabel 87"/>
    <w:qFormat/>
    <w:rPr>
      <w:u w:val="none"/>
    </w:rPr>
  </w:style>
  <w:style w:type="character" w:styleId="ListLabel88">
    <w:name w:val="ListLabel 88"/>
    <w:qFormat/>
    <w:rPr>
      <w:u w:val="none"/>
    </w:rPr>
  </w:style>
  <w:style w:type="character" w:styleId="ListLabel89">
    <w:name w:val="ListLabel 89"/>
    <w:qFormat/>
    <w:rPr>
      <w:u w:val="none"/>
    </w:rPr>
  </w:style>
  <w:style w:type="character" w:styleId="ListLabel90">
    <w:name w:val="ListLabel 90"/>
    <w:qFormat/>
    <w:rPr>
      <w:u w:val="none"/>
    </w:rPr>
  </w:style>
  <w:style w:type="character" w:styleId="ListLabel91">
    <w:name w:val="ListLabel 91"/>
    <w:qFormat/>
    <w:rPr>
      <w:sz w:val="24"/>
      <w:u w:val="none"/>
    </w:rPr>
  </w:style>
  <w:style w:type="character" w:styleId="ListLabel92">
    <w:name w:val="ListLabel 92"/>
    <w:qFormat/>
    <w:rPr>
      <w:u w:val="none"/>
    </w:rPr>
  </w:style>
  <w:style w:type="character" w:styleId="ListLabel93">
    <w:name w:val="ListLabel 93"/>
    <w:qFormat/>
    <w:rPr>
      <w:u w:val="none"/>
    </w:rPr>
  </w:style>
  <w:style w:type="character" w:styleId="ListLabel94">
    <w:name w:val="ListLabel 94"/>
    <w:qFormat/>
    <w:rPr>
      <w:u w:val="none"/>
    </w:rPr>
  </w:style>
  <w:style w:type="character" w:styleId="ListLabel95">
    <w:name w:val="ListLabel 95"/>
    <w:qFormat/>
    <w:rPr>
      <w:u w:val="none"/>
    </w:rPr>
  </w:style>
  <w:style w:type="character" w:styleId="ListLabel96">
    <w:name w:val="ListLabel 96"/>
    <w:qFormat/>
    <w:rPr>
      <w:u w:val="none"/>
    </w:rPr>
  </w:style>
  <w:style w:type="character" w:styleId="ListLabel97">
    <w:name w:val="ListLabel 97"/>
    <w:qFormat/>
    <w:rPr>
      <w:u w:val="none"/>
    </w:rPr>
  </w:style>
  <w:style w:type="character" w:styleId="ListLabel98">
    <w:name w:val="ListLabel 98"/>
    <w:qFormat/>
    <w:rPr>
      <w:u w:val="none"/>
    </w:rPr>
  </w:style>
  <w:style w:type="character" w:styleId="ListLabel99">
    <w:name w:val="ListLabel 99"/>
    <w:qFormat/>
    <w:rPr>
      <w:u w:val="none"/>
    </w:rPr>
  </w:style>
  <w:style w:type="character" w:styleId="ListLabel100">
    <w:name w:val="ListLabel 100"/>
    <w:qFormat/>
    <w:rPr>
      <w:sz w:val="22"/>
      <w:u w:val="none"/>
    </w:rPr>
  </w:style>
  <w:style w:type="character" w:styleId="ListLabel101">
    <w:name w:val="ListLabel 101"/>
    <w:qFormat/>
    <w:rPr>
      <w:u w:val="none"/>
    </w:rPr>
  </w:style>
  <w:style w:type="character" w:styleId="ListLabel102">
    <w:name w:val="ListLabel 102"/>
    <w:qFormat/>
    <w:rPr>
      <w:u w:val="none"/>
    </w:rPr>
  </w:style>
  <w:style w:type="character" w:styleId="ListLabel103">
    <w:name w:val="ListLabel 103"/>
    <w:qFormat/>
    <w:rPr>
      <w:u w:val="none"/>
    </w:rPr>
  </w:style>
  <w:style w:type="character" w:styleId="ListLabel104">
    <w:name w:val="ListLabel 104"/>
    <w:qFormat/>
    <w:rPr>
      <w:u w:val="none"/>
    </w:rPr>
  </w:style>
  <w:style w:type="character" w:styleId="ListLabel105">
    <w:name w:val="ListLabel 105"/>
    <w:qFormat/>
    <w:rPr>
      <w:u w:val="none"/>
    </w:rPr>
  </w:style>
  <w:style w:type="character" w:styleId="ListLabel106">
    <w:name w:val="ListLabel 106"/>
    <w:qFormat/>
    <w:rPr>
      <w:u w:val="none"/>
    </w:rPr>
  </w:style>
  <w:style w:type="character" w:styleId="ListLabel107">
    <w:name w:val="ListLabel 107"/>
    <w:qFormat/>
    <w:rPr>
      <w:u w:val="none"/>
    </w:rPr>
  </w:style>
  <w:style w:type="character" w:styleId="ListLabel108">
    <w:name w:val="ListLabel 108"/>
    <w:qFormat/>
    <w:rPr>
      <w:u w:val="none"/>
    </w:rPr>
  </w:style>
  <w:style w:type="character" w:styleId="ListLabel109">
    <w:name w:val="ListLabel 109"/>
    <w:qFormat/>
    <w:rPr>
      <w:sz w:val="24"/>
      <w:u w:val="none"/>
    </w:rPr>
  </w:style>
  <w:style w:type="character" w:styleId="ListLabel110">
    <w:name w:val="ListLabel 110"/>
    <w:qFormat/>
    <w:rPr>
      <w:u w:val="none"/>
    </w:rPr>
  </w:style>
  <w:style w:type="character" w:styleId="ListLabel111">
    <w:name w:val="ListLabel 111"/>
    <w:qFormat/>
    <w:rPr>
      <w:u w:val="none"/>
    </w:rPr>
  </w:style>
  <w:style w:type="character" w:styleId="ListLabel112">
    <w:name w:val="ListLabel 112"/>
    <w:qFormat/>
    <w:rPr>
      <w:u w:val="none"/>
    </w:rPr>
  </w:style>
  <w:style w:type="character" w:styleId="ListLabel113">
    <w:name w:val="ListLabel 113"/>
    <w:qFormat/>
    <w:rPr>
      <w:u w:val="none"/>
    </w:rPr>
  </w:style>
  <w:style w:type="character" w:styleId="ListLabel114">
    <w:name w:val="ListLabel 114"/>
    <w:qFormat/>
    <w:rPr>
      <w:u w:val="none"/>
    </w:rPr>
  </w:style>
  <w:style w:type="character" w:styleId="ListLabel115">
    <w:name w:val="ListLabel 115"/>
    <w:qFormat/>
    <w:rPr>
      <w:u w:val="none"/>
    </w:rPr>
  </w:style>
  <w:style w:type="character" w:styleId="ListLabel116">
    <w:name w:val="ListLabel 116"/>
    <w:qFormat/>
    <w:rPr>
      <w:u w:val="none"/>
    </w:rPr>
  </w:style>
  <w:style w:type="character" w:styleId="ListLabel117">
    <w:name w:val="ListLabel 117"/>
    <w:qFormat/>
    <w:rPr>
      <w:u w:val="none"/>
    </w:rPr>
  </w:style>
  <w:style w:type="character" w:styleId="ListLabel118">
    <w:name w:val="ListLabel 118"/>
    <w:qFormat/>
    <w:rPr>
      <w:sz w:val="24"/>
      <w:u w:val="none"/>
    </w:rPr>
  </w:style>
  <w:style w:type="character" w:styleId="ListLabel119">
    <w:name w:val="ListLabel 119"/>
    <w:qFormat/>
    <w:rPr>
      <w:u w:val="none"/>
    </w:rPr>
  </w:style>
  <w:style w:type="character" w:styleId="ListLabel120">
    <w:name w:val="ListLabel 120"/>
    <w:qFormat/>
    <w:rPr>
      <w:u w:val="none"/>
    </w:rPr>
  </w:style>
  <w:style w:type="character" w:styleId="ListLabel121">
    <w:name w:val="ListLabel 121"/>
    <w:qFormat/>
    <w:rPr>
      <w:u w:val="none"/>
    </w:rPr>
  </w:style>
  <w:style w:type="character" w:styleId="ListLabel122">
    <w:name w:val="ListLabel 122"/>
    <w:qFormat/>
    <w:rPr>
      <w:u w:val="none"/>
    </w:rPr>
  </w:style>
  <w:style w:type="character" w:styleId="ListLabel123">
    <w:name w:val="ListLabel 123"/>
    <w:qFormat/>
    <w:rPr>
      <w:u w:val="none"/>
    </w:rPr>
  </w:style>
  <w:style w:type="character" w:styleId="ListLabel124">
    <w:name w:val="ListLabel 124"/>
    <w:qFormat/>
    <w:rPr>
      <w:u w:val="none"/>
    </w:rPr>
  </w:style>
  <w:style w:type="character" w:styleId="ListLabel125">
    <w:name w:val="ListLabel 125"/>
    <w:qFormat/>
    <w:rPr>
      <w:u w:val="none"/>
    </w:rPr>
  </w:style>
  <w:style w:type="character" w:styleId="ListLabel126">
    <w:name w:val="ListLabel 126"/>
    <w:qFormat/>
    <w:rPr>
      <w:u w:val="none"/>
    </w:rPr>
  </w:style>
  <w:style w:type="character" w:styleId="ListLabel127">
    <w:name w:val="ListLabel 127"/>
    <w:qFormat/>
    <w:rPr>
      <w:sz w:val="22"/>
      <w:u w:val="none"/>
    </w:rPr>
  </w:style>
  <w:style w:type="character" w:styleId="ListLabel128">
    <w:name w:val="ListLabel 128"/>
    <w:qFormat/>
    <w:rPr>
      <w:u w:val="none"/>
    </w:rPr>
  </w:style>
  <w:style w:type="character" w:styleId="ListLabel129">
    <w:name w:val="ListLabel 129"/>
    <w:qFormat/>
    <w:rPr>
      <w:u w:val="none"/>
    </w:rPr>
  </w:style>
  <w:style w:type="character" w:styleId="ListLabel130">
    <w:name w:val="ListLabel 130"/>
    <w:qFormat/>
    <w:rPr>
      <w:u w:val="none"/>
    </w:rPr>
  </w:style>
  <w:style w:type="character" w:styleId="ListLabel131">
    <w:name w:val="ListLabel 131"/>
    <w:qFormat/>
    <w:rPr>
      <w:u w:val="none"/>
    </w:rPr>
  </w:style>
  <w:style w:type="character" w:styleId="ListLabel132">
    <w:name w:val="ListLabel 132"/>
    <w:qFormat/>
    <w:rPr>
      <w:u w:val="none"/>
    </w:rPr>
  </w:style>
  <w:style w:type="character" w:styleId="ListLabel133">
    <w:name w:val="ListLabel 133"/>
    <w:qFormat/>
    <w:rPr>
      <w:u w:val="none"/>
    </w:rPr>
  </w:style>
  <w:style w:type="character" w:styleId="ListLabel134">
    <w:name w:val="ListLabel 134"/>
    <w:qFormat/>
    <w:rPr>
      <w:u w:val="none"/>
    </w:rPr>
  </w:style>
  <w:style w:type="character" w:styleId="ListLabel135">
    <w:name w:val="ListLabel 135"/>
    <w:qFormat/>
    <w:rPr>
      <w:u w:val="none"/>
    </w:rPr>
  </w:style>
  <w:style w:type="character" w:styleId="ListLabel136">
    <w:name w:val="ListLabel 136"/>
    <w:qFormat/>
    <w:rPr>
      <w:sz w:val="24"/>
      <w:u w:val="none"/>
    </w:rPr>
  </w:style>
  <w:style w:type="character" w:styleId="ListLabel137">
    <w:name w:val="ListLabel 137"/>
    <w:qFormat/>
    <w:rPr>
      <w:u w:val="none"/>
    </w:rPr>
  </w:style>
  <w:style w:type="character" w:styleId="ListLabel138">
    <w:name w:val="ListLabel 138"/>
    <w:qFormat/>
    <w:rPr>
      <w:u w:val="none"/>
    </w:rPr>
  </w:style>
  <w:style w:type="character" w:styleId="ListLabel139">
    <w:name w:val="ListLabel 139"/>
    <w:qFormat/>
    <w:rPr>
      <w:u w:val="none"/>
    </w:rPr>
  </w:style>
  <w:style w:type="character" w:styleId="ListLabel140">
    <w:name w:val="ListLabel 140"/>
    <w:qFormat/>
    <w:rPr>
      <w:u w:val="none"/>
    </w:rPr>
  </w:style>
  <w:style w:type="character" w:styleId="ListLabel141">
    <w:name w:val="ListLabel 141"/>
    <w:qFormat/>
    <w:rPr>
      <w:u w:val="none"/>
    </w:rPr>
  </w:style>
  <w:style w:type="character" w:styleId="ListLabel142">
    <w:name w:val="ListLabel 142"/>
    <w:qFormat/>
    <w:rPr>
      <w:u w:val="none"/>
    </w:rPr>
  </w:style>
  <w:style w:type="character" w:styleId="ListLabel143">
    <w:name w:val="ListLabel 143"/>
    <w:qFormat/>
    <w:rPr>
      <w:u w:val="none"/>
    </w:rPr>
  </w:style>
  <w:style w:type="character" w:styleId="ListLabel144">
    <w:name w:val="ListLabel 144"/>
    <w:qFormat/>
    <w:rPr>
      <w:u w:val="none"/>
    </w:rPr>
  </w:style>
  <w:style w:type="character" w:styleId="ListLabel145">
    <w:name w:val="ListLabel 145"/>
    <w:qFormat/>
    <w:rPr>
      <w:sz w:val="24"/>
      <w:u w:val="none"/>
    </w:rPr>
  </w:style>
  <w:style w:type="character" w:styleId="ListLabel146">
    <w:name w:val="ListLabel 146"/>
    <w:qFormat/>
    <w:rPr>
      <w:u w:val="none"/>
    </w:rPr>
  </w:style>
  <w:style w:type="character" w:styleId="ListLabel147">
    <w:name w:val="ListLabel 147"/>
    <w:qFormat/>
    <w:rPr>
      <w:u w:val="none"/>
    </w:rPr>
  </w:style>
  <w:style w:type="character" w:styleId="ListLabel148">
    <w:name w:val="ListLabel 148"/>
    <w:qFormat/>
    <w:rPr>
      <w:u w:val="none"/>
    </w:rPr>
  </w:style>
  <w:style w:type="character" w:styleId="ListLabel149">
    <w:name w:val="ListLabel 149"/>
    <w:qFormat/>
    <w:rPr>
      <w:u w:val="none"/>
    </w:rPr>
  </w:style>
  <w:style w:type="character" w:styleId="ListLabel150">
    <w:name w:val="ListLabel 150"/>
    <w:qFormat/>
    <w:rPr>
      <w:u w:val="none"/>
    </w:rPr>
  </w:style>
  <w:style w:type="character" w:styleId="ListLabel151">
    <w:name w:val="ListLabel 151"/>
    <w:qFormat/>
    <w:rPr>
      <w:u w:val="none"/>
    </w:rPr>
  </w:style>
  <w:style w:type="character" w:styleId="ListLabel152">
    <w:name w:val="ListLabel 152"/>
    <w:qFormat/>
    <w:rPr>
      <w:u w:val="none"/>
    </w:rPr>
  </w:style>
  <w:style w:type="character" w:styleId="ListLabel153">
    <w:name w:val="ListLabel 153"/>
    <w:qFormat/>
    <w:rPr>
      <w:u w:val="none"/>
    </w:rPr>
  </w:style>
  <w:style w:type="character" w:styleId="ListLabel154">
    <w:name w:val="ListLabel 154"/>
    <w:qFormat/>
    <w:rPr>
      <w:sz w:val="22"/>
      <w:u w:val="none"/>
    </w:rPr>
  </w:style>
  <w:style w:type="character" w:styleId="ListLabel155">
    <w:name w:val="ListLabel 155"/>
    <w:qFormat/>
    <w:rPr>
      <w:u w:val="none"/>
    </w:rPr>
  </w:style>
  <w:style w:type="character" w:styleId="ListLabel156">
    <w:name w:val="ListLabel 156"/>
    <w:qFormat/>
    <w:rPr>
      <w:u w:val="none"/>
    </w:rPr>
  </w:style>
  <w:style w:type="character" w:styleId="ListLabel157">
    <w:name w:val="ListLabel 157"/>
    <w:qFormat/>
    <w:rPr>
      <w:u w:val="none"/>
    </w:rPr>
  </w:style>
  <w:style w:type="character" w:styleId="ListLabel158">
    <w:name w:val="ListLabel 158"/>
    <w:qFormat/>
    <w:rPr>
      <w:u w:val="none"/>
    </w:rPr>
  </w:style>
  <w:style w:type="character" w:styleId="ListLabel159">
    <w:name w:val="ListLabel 159"/>
    <w:qFormat/>
    <w:rPr>
      <w:u w:val="none"/>
    </w:rPr>
  </w:style>
  <w:style w:type="character" w:styleId="ListLabel160">
    <w:name w:val="ListLabel 160"/>
    <w:qFormat/>
    <w:rPr>
      <w:u w:val="none"/>
    </w:rPr>
  </w:style>
  <w:style w:type="character" w:styleId="ListLabel161">
    <w:name w:val="ListLabel 161"/>
    <w:qFormat/>
    <w:rPr>
      <w:u w:val="none"/>
    </w:rPr>
  </w:style>
  <w:style w:type="character" w:styleId="ListLabel162">
    <w:name w:val="ListLabel 162"/>
    <w:qFormat/>
    <w:rPr>
      <w:u w:val="none"/>
    </w:rPr>
  </w:style>
  <w:style w:type="character" w:styleId="ListLabel163">
    <w:name w:val="ListLabel 163"/>
    <w:qFormat/>
    <w:rPr>
      <w:sz w:val="24"/>
      <w:u w:val="none"/>
    </w:rPr>
  </w:style>
  <w:style w:type="character" w:styleId="ListLabel164">
    <w:name w:val="ListLabel 164"/>
    <w:qFormat/>
    <w:rPr>
      <w:u w:val="none"/>
    </w:rPr>
  </w:style>
  <w:style w:type="character" w:styleId="ListLabel165">
    <w:name w:val="ListLabel 165"/>
    <w:qFormat/>
    <w:rPr>
      <w:u w:val="none"/>
    </w:rPr>
  </w:style>
  <w:style w:type="character" w:styleId="ListLabel166">
    <w:name w:val="ListLabel 166"/>
    <w:qFormat/>
    <w:rPr>
      <w:u w:val="none"/>
    </w:rPr>
  </w:style>
  <w:style w:type="character" w:styleId="ListLabel167">
    <w:name w:val="ListLabel 167"/>
    <w:qFormat/>
    <w:rPr>
      <w:u w:val="none"/>
    </w:rPr>
  </w:style>
  <w:style w:type="character" w:styleId="ListLabel168">
    <w:name w:val="ListLabel 168"/>
    <w:qFormat/>
    <w:rPr>
      <w:u w:val="none"/>
    </w:rPr>
  </w:style>
  <w:style w:type="character" w:styleId="ListLabel169">
    <w:name w:val="ListLabel 169"/>
    <w:qFormat/>
    <w:rPr>
      <w:u w:val="none"/>
    </w:rPr>
  </w:style>
  <w:style w:type="character" w:styleId="ListLabel170">
    <w:name w:val="ListLabel 170"/>
    <w:qFormat/>
    <w:rPr>
      <w:u w:val="none"/>
    </w:rPr>
  </w:style>
  <w:style w:type="character" w:styleId="ListLabel171">
    <w:name w:val="ListLabel 171"/>
    <w:qFormat/>
    <w:rPr>
      <w:u w:val="none"/>
    </w:rPr>
  </w:style>
  <w:style w:type="character" w:styleId="ListLabel172">
    <w:name w:val="ListLabel 172"/>
    <w:qFormat/>
    <w:rPr>
      <w:sz w:val="24"/>
      <w:u w:val="none"/>
    </w:rPr>
  </w:style>
  <w:style w:type="character" w:styleId="ListLabel173">
    <w:name w:val="ListLabel 173"/>
    <w:qFormat/>
    <w:rPr>
      <w:u w:val="none"/>
    </w:rPr>
  </w:style>
  <w:style w:type="character" w:styleId="ListLabel174">
    <w:name w:val="ListLabel 174"/>
    <w:qFormat/>
    <w:rPr>
      <w:u w:val="none"/>
    </w:rPr>
  </w:style>
  <w:style w:type="character" w:styleId="ListLabel175">
    <w:name w:val="ListLabel 175"/>
    <w:qFormat/>
    <w:rPr>
      <w:u w:val="none"/>
    </w:rPr>
  </w:style>
  <w:style w:type="character" w:styleId="ListLabel176">
    <w:name w:val="ListLabel 176"/>
    <w:qFormat/>
    <w:rPr>
      <w:u w:val="none"/>
    </w:rPr>
  </w:style>
  <w:style w:type="character" w:styleId="ListLabel177">
    <w:name w:val="ListLabel 177"/>
    <w:qFormat/>
    <w:rPr>
      <w:u w:val="none"/>
    </w:rPr>
  </w:style>
  <w:style w:type="character" w:styleId="ListLabel178">
    <w:name w:val="ListLabel 178"/>
    <w:qFormat/>
    <w:rPr>
      <w:u w:val="none"/>
    </w:rPr>
  </w:style>
  <w:style w:type="character" w:styleId="ListLabel179">
    <w:name w:val="ListLabel 179"/>
    <w:qFormat/>
    <w:rPr>
      <w:u w:val="none"/>
    </w:rPr>
  </w:style>
  <w:style w:type="character" w:styleId="ListLabel180">
    <w:name w:val="ListLabel 180"/>
    <w:qFormat/>
    <w:rPr>
      <w:u w:val="none"/>
    </w:rPr>
  </w:style>
  <w:style w:type="character" w:styleId="ListLabel181">
    <w:name w:val="ListLabel 181"/>
    <w:qFormat/>
    <w:rPr>
      <w:sz w:val="22"/>
      <w:u w:val="none"/>
    </w:rPr>
  </w:style>
  <w:style w:type="character" w:styleId="ListLabel182">
    <w:name w:val="ListLabel 182"/>
    <w:qFormat/>
    <w:rPr>
      <w:u w:val="none"/>
    </w:rPr>
  </w:style>
  <w:style w:type="character" w:styleId="ListLabel183">
    <w:name w:val="ListLabel 183"/>
    <w:qFormat/>
    <w:rPr>
      <w:u w:val="none"/>
    </w:rPr>
  </w:style>
  <w:style w:type="character" w:styleId="ListLabel184">
    <w:name w:val="ListLabel 184"/>
    <w:qFormat/>
    <w:rPr>
      <w:u w:val="none"/>
    </w:rPr>
  </w:style>
  <w:style w:type="character" w:styleId="ListLabel185">
    <w:name w:val="ListLabel 185"/>
    <w:qFormat/>
    <w:rPr>
      <w:u w:val="none"/>
    </w:rPr>
  </w:style>
  <w:style w:type="character" w:styleId="ListLabel186">
    <w:name w:val="ListLabel 186"/>
    <w:qFormat/>
    <w:rPr>
      <w:u w:val="none"/>
    </w:rPr>
  </w:style>
  <w:style w:type="character" w:styleId="ListLabel187">
    <w:name w:val="ListLabel 187"/>
    <w:qFormat/>
    <w:rPr>
      <w:u w:val="none"/>
    </w:rPr>
  </w:style>
  <w:style w:type="character" w:styleId="ListLabel188">
    <w:name w:val="ListLabel 188"/>
    <w:qFormat/>
    <w:rPr>
      <w:u w:val="none"/>
    </w:rPr>
  </w:style>
  <w:style w:type="character" w:styleId="ListLabel189">
    <w:name w:val="ListLabel 189"/>
    <w:qFormat/>
    <w:rPr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mo" w:hAnsi="Arimo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re">
    <w:name w:val="Titre"/>
    <w:basedOn w:val="Normal"/>
    <w:qFormat/>
    <w:pPr>
      <w:keepNext w:val="true"/>
      <w:spacing w:before="240" w:after="120"/>
    </w:pPr>
    <w:rPr>
      <w:rFonts w:ascii="Arimo" w:hAnsi="Arimo" w:eastAsia="DejaVu Sans" w:cs="FreeSans"/>
      <w:sz w:val="28"/>
      <w:szCs w:val="28"/>
    </w:rPr>
  </w:style>
  <w:style w:type="paragraph" w:styleId="Paragraph" w:customStyle="1">
    <w:name w:val="paragraph"/>
    <w:basedOn w:val="Normal"/>
    <w:qFormat/>
    <w:rsid w:val="003d00a5"/>
    <w:pPr>
      <w:spacing w:beforeAutospacing="1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styleId="Contenudetableau">
    <w:name w:val="Contenu de tableau"/>
    <w:basedOn w:val="Normal"/>
    <w:qFormat/>
    <w:pPr/>
    <w:rPr/>
  </w:style>
  <w:style w:type="paragraph" w:styleId="Titredetableau">
    <w:name w:val="Titre de tableau"/>
    <w:basedOn w:val="Contenudetableau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73d6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LibreOffice/6.1.5.2$Linux_X86_64 LibreOffice_project/10$Build-2</Application>
  <Pages>3</Pages>
  <Words>623</Words>
  <Characters>3568</Characters>
  <CharactersWithSpaces>4118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2019-03-13T10:10:00Z</dcterms:created>
  <dc:creator>Hajný Jan (89784)</dc:creator>
  <dc:description/>
  <dc:language>fr-FR</dc:language>
  <cp:lastModifiedBy/>
  <cp:lastPrinted>2019-03-18T15:26:00Z</cp:lastPrinted>
  <dcterms:modified xsi:type="dcterms:W3CDTF">2020-02-06T09:44:53Z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